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0E" w:rsidRDefault="008E480E" w:rsidP="008E480E"/>
    <w:p w:rsidR="008E480E" w:rsidRDefault="008E480E" w:rsidP="008E480E"/>
    <w:p w:rsidR="008E480E" w:rsidRDefault="008E480E" w:rsidP="008E480E"/>
    <w:p w:rsidR="008E480E" w:rsidRDefault="008E480E" w:rsidP="008E480E"/>
    <w:p w:rsidR="008E480E" w:rsidRDefault="008E480E" w:rsidP="008E480E">
      <w:pPr>
        <w:rPr>
          <w:b/>
        </w:rPr>
      </w:pPr>
      <w:r w:rsidRPr="00610906">
        <w:rPr>
          <w:b/>
        </w:rPr>
        <w:t xml:space="preserve">Pixi-bog, vedr. implementering/håndtering af </w:t>
      </w:r>
      <w:proofErr w:type="spellStart"/>
      <w:r w:rsidRPr="00610906">
        <w:rPr>
          <w:b/>
        </w:rPr>
        <w:t>Nummerportering</w:t>
      </w:r>
      <w:proofErr w:type="spellEnd"/>
      <w:r>
        <w:rPr>
          <w:b/>
        </w:rPr>
        <w:t xml:space="preserve"> hos den enkelte operatør, forudsætter forudgående kendskab til </w:t>
      </w:r>
      <w:proofErr w:type="spellStart"/>
      <w:proofErr w:type="gramStart"/>
      <w:r>
        <w:rPr>
          <w:b/>
        </w:rPr>
        <w:t>Rules&amp;Procedure</w:t>
      </w:r>
      <w:proofErr w:type="spellEnd"/>
      <w:proofErr w:type="gramEnd"/>
      <w:r>
        <w:rPr>
          <w:b/>
        </w:rPr>
        <w:t xml:space="preserve"> samt transaktionsdokumentet idet der på </w:t>
      </w:r>
      <w:proofErr w:type="spellStart"/>
      <w:r>
        <w:rPr>
          <w:b/>
        </w:rPr>
        <w:t>Nummerporteringsområdet</w:t>
      </w:r>
      <w:proofErr w:type="spellEnd"/>
      <w:r>
        <w:rPr>
          <w:b/>
        </w:rPr>
        <w:t xml:space="preserve"> anvendes mange emnespecifikke termer.</w:t>
      </w:r>
    </w:p>
    <w:p w:rsidR="008E480E" w:rsidRDefault="008E480E" w:rsidP="008E480E">
      <w:pPr>
        <w:rPr>
          <w:b/>
        </w:rPr>
      </w:pPr>
    </w:p>
    <w:p w:rsidR="008E480E" w:rsidRDefault="008E480E" w:rsidP="008E48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360"/>
      </w:tblGrid>
      <w:tr w:rsidR="008E480E" w:rsidRPr="00326FD0" w:rsidTr="005271F2">
        <w:tc>
          <w:tcPr>
            <w:tcW w:w="3216" w:type="dxa"/>
          </w:tcPr>
          <w:p w:rsidR="008E480E" w:rsidRPr="00410DA7" w:rsidRDefault="008E480E" w:rsidP="005271F2">
            <w:pPr>
              <w:rPr>
                <w:b/>
              </w:rPr>
            </w:pPr>
            <w:r w:rsidRPr="00410DA7">
              <w:rPr>
                <w:b/>
              </w:rPr>
              <w:t>Begreb</w:t>
            </w:r>
          </w:p>
        </w:tc>
        <w:tc>
          <w:tcPr>
            <w:tcW w:w="6638" w:type="dxa"/>
          </w:tcPr>
          <w:p w:rsidR="008E480E" w:rsidRPr="00410DA7" w:rsidRDefault="008E480E" w:rsidP="005271F2">
            <w:pPr>
              <w:rPr>
                <w:b/>
              </w:rPr>
            </w:pPr>
            <w:r w:rsidRPr="00410DA7">
              <w:rPr>
                <w:b/>
              </w:rPr>
              <w:t>Forklaring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CPS kode</w:t>
            </w:r>
          </w:p>
        </w:tc>
        <w:tc>
          <w:tcPr>
            <w:tcW w:w="6638" w:type="dxa"/>
          </w:tcPr>
          <w:p w:rsidR="008E480E" w:rsidRDefault="008E480E" w:rsidP="005271F2">
            <w:r>
              <w:t>En kode der tildeles operatøren af OCH A/S.</w:t>
            </w:r>
          </w:p>
          <w:p w:rsidR="008E480E" w:rsidRDefault="008E480E" w:rsidP="005271F2">
            <w:r>
              <w:t>CPS kode 010xx = Netværks Operatør</w:t>
            </w:r>
          </w:p>
          <w:p w:rsidR="008E480E" w:rsidRDefault="008E480E" w:rsidP="005271F2">
            <w:r>
              <w:t>CPS kode 00xxx = Service Operatør med direkte opkobling til OCH Systemet</w:t>
            </w:r>
          </w:p>
          <w:p w:rsidR="008E480E" w:rsidRDefault="008E480E" w:rsidP="005271F2">
            <w:r>
              <w:t>CPS kode 08xxx = Service Operatør uden direkte opkobling til OCH Systemet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Customer-ID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Kunde- konto nummer hos afgivne operatør. Hvis dette oplyses i en fastnet </w:t>
            </w:r>
            <w:proofErr w:type="spellStart"/>
            <w:r>
              <w:t>portering</w:t>
            </w:r>
            <w:proofErr w:type="spellEnd"/>
            <w:r>
              <w:t>, erstatter det fremsendelse af fuldmagt.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FIXED</w:t>
            </w:r>
          </w:p>
        </w:tc>
        <w:tc>
          <w:tcPr>
            <w:tcW w:w="6638" w:type="dxa"/>
          </w:tcPr>
          <w:p w:rsidR="008E480E" w:rsidRDefault="008E480E" w:rsidP="005271F2">
            <w:r>
              <w:t>Fastnet telefoni, som bruges til almindelig fastnet, VoIP og overgeografiske numre (70/80/90 numre).</w:t>
            </w:r>
          </w:p>
        </w:tc>
      </w:tr>
      <w:tr w:rsidR="008E480E" w:rsidRPr="00AD0444" w:rsidTr="005271F2">
        <w:tc>
          <w:tcPr>
            <w:tcW w:w="3216" w:type="dxa"/>
          </w:tcPr>
          <w:p w:rsidR="008E480E" w:rsidRPr="00AD0444" w:rsidRDefault="008E480E" w:rsidP="005271F2">
            <w:pPr>
              <w:rPr>
                <w:lang w:val="en-US"/>
              </w:rPr>
            </w:pPr>
            <w:r w:rsidRPr="00AD0444">
              <w:rPr>
                <w:lang w:val="en-US"/>
              </w:rPr>
              <w:t xml:space="preserve">GSM - </w:t>
            </w:r>
            <w:r w:rsidRPr="00AD0444">
              <w:rPr>
                <w:bCs/>
                <w:lang w:val="en-US"/>
              </w:rPr>
              <w:t>Global System for Mobile Communications</w:t>
            </w:r>
          </w:p>
        </w:tc>
        <w:tc>
          <w:tcPr>
            <w:tcW w:w="6638" w:type="dxa"/>
          </w:tcPr>
          <w:p w:rsidR="008E480E" w:rsidRPr="00AD0444" w:rsidRDefault="008E480E" w:rsidP="005271F2">
            <w:pPr>
              <w:rPr>
                <w:lang w:val="en-US"/>
              </w:rPr>
            </w:pPr>
            <w:r>
              <w:rPr>
                <w:lang w:val="en-US"/>
              </w:rPr>
              <w:t xml:space="preserve">Mobil </w:t>
            </w:r>
            <w:proofErr w:type="spellStart"/>
            <w:r>
              <w:rPr>
                <w:lang w:val="en-US"/>
              </w:rPr>
              <w:t>telefoni</w:t>
            </w:r>
            <w:proofErr w:type="spellEnd"/>
          </w:p>
        </w:tc>
      </w:tr>
      <w:tr w:rsidR="008E480E" w:rsidRPr="00B37019" w:rsidTr="005271F2">
        <w:tc>
          <w:tcPr>
            <w:tcW w:w="3216" w:type="dxa"/>
          </w:tcPr>
          <w:p w:rsidR="008E480E" w:rsidRPr="00430683" w:rsidRDefault="008E480E" w:rsidP="005271F2">
            <w:r>
              <w:t xml:space="preserve">ICC – </w:t>
            </w:r>
            <w:proofErr w:type="spellStart"/>
            <w:r>
              <w:t>Simkortnummer</w:t>
            </w:r>
            <w:proofErr w:type="spellEnd"/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Nummeret er trykt på Simkortet og hvis det oplyses i en mobil </w:t>
            </w:r>
            <w:proofErr w:type="spellStart"/>
            <w:r>
              <w:t>portering</w:t>
            </w:r>
            <w:proofErr w:type="spellEnd"/>
            <w:r>
              <w:t>, erstatter det fremsendelse af fuldmagt.</w:t>
            </w:r>
          </w:p>
        </w:tc>
      </w:tr>
      <w:tr w:rsidR="008E480E" w:rsidRPr="00B37019" w:rsidTr="005271F2">
        <w:tc>
          <w:tcPr>
            <w:tcW w:w="3216" w:type="dxa"/>
          </w:tcPr>
          <w:p w:rsidR="008E480E" w:rsidRPr="00430683" w:rsidRDefault="008E480E" w:rsidP="005271F2">
            <w:r>
              <w:t xml:space="preserve">ICH </w:t>
            </w:r>
            <w:proofErr w:type="spellStart"/>
            <w:r>
              <w:t>Internal</w:t>
            </w:r>
            <w:proofErr w:type="spellEnd"/>
            <w:r>
              <w:t xml:space="preserve"> Clearing House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Fællesbetegnelse for de applikationer de enkelte direkte opkoblede operatører anvender til at kommunikere med OCH Systemet. Et ICH kan være eget udviklet eller købt hos en af de danske leverandører </w:t>
            </w:r>
            <w:proofErr w:type="gramStart"/>
            <w:r>
              <w:t>af  ICH</w:t>
            </w:r>
            <w:proofErr w:type="gramEnd"/>
            <w:r>
              <w:t xml:space="preserve"> Systemer. 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proofErr w:type="spellStart"/>
            <w:r>
              <w:t>Interconnect</w:t>
            </w:r>
            <w:proofErr w:type="spellEnd"/>
          </w:p>
        </w:tc>
        <w:tc>
          <w:tcPr>
            <w:tcW w:w="6638" w:type="dxa"/>
          </w:tcPr>
          <w:p w:rsidR="008E480E" w:rsidRDefault="008E480E" w:rsidP="005271F2">
            <w:r>
              <w:t>Det fænomen at to netværker udveksler trafik med hinanden.</w:t>
            </w:r>
          </w:p>
          <w:p w:rsidR="008E480E" w:rsidRDefault="008E480E" w:rsidP="005271F2">
            <w:r>
              <w:t xml:space="preserve">Hvis operatør A ikke har </w:t>
            </w:r>
            <w:proofErr w:type="spellStart"/>
            <w:r>
              <w:t>interconnect</w:t>
            </w:r>
            <w:proofErr w:type="spellEnd"/>
            <w:r>
              <w:t xml:space="preserve"> med operatør B, kan operatør A sende sin trafik gennem operatør C, som har </w:t>
            </w:r>
            <w:proofErr w:type="spellStart"/>
            <w:r>
              <w:t>interconnect</w:t>
            </w:r>
            <w:proofErr w:type="spellEnd"/>
            <w:r>
              <w:t xml:space="preserve"> til operatør B. Derved bliver operatør C </w:t>
            </w:r>
            <w:proofErr w:type="spellStart"/>
            <w:r>
              <w:t>interconnect</w:t>
            </w:r>
            <w:proofErr w:type="spellEnd"/>
            <w:r>
              <w:t xml:space="preserve"> operatør for operatør A. 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NO – Netværks Operatør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>En operatør med eget netværk. Han vil altid have en CPS kode på formen 010xx.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proofErr w:type="spellStart"/>
            <w:r>
              <w:t>Number</w:t>
            </w:r>
            <w:proofErr w:type="spellEnd"/>
            <w:r>
              <w:t xml:space="preserve"> Type</w:t>
            </w:r>
          </w:p>
        </w:tc>
        <w:tc>
          <w:tcPr>
            <w:tcW w:w="6638" w:type="dxa"/>
          </w:tcPr>
          <w:p w:rsidR="008E480E" w:rsidRDefault="008E480E" w:rsidP="005271F2">
            <w:r>
              <w:t>I OCH Systemet anvendes to nummer typer: GSM = mobil, og FIXED, som bruges til almindelig fastnet, VoIP og overgeografiske numre (70/80/90 numre).</w:t>
            </w:r>
          </w:p>
          <w:p w:rsidR="008E480E" w:rsidRDefault="008E480E" w:rsidP="005271F2">
            <w:r>
              <w:t xml:space="preserve">Det er ikke tilladt at ændre </w:t>
            </w:r>
            <w:proofErr w:type="spellStart"/>
            <w:r>
              <w:t>Number</w:t>
            </w:r>
            <w:proofErr w:type="spellEnd"/>
            <w:r>
              <w:t xml:space="preserve"> Type ved en </w:t>
            </w:r>
            <w:proofErr w:type="spellStart"/>
            <w:r>
              <w:t>portering</w:t>
            </w:r>
            <w:proofErr w:type="spellEnd"/>
            <w:r>
              <w:t xml:space="preserve">. Et nummer beholder </w:t>
            </w:r>
            <w:proofErr w:type="gramStart"/>
            <w:r>
              <w:t>den</w:t>
            </w:r>
            <w:proofErr w:type="gramEnd"/>
            <w:r>
              <w:t xml:space="preserve"> nummer type som Telestyrelsen har tildelt det.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OCH A/S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Virksomheden Operators Clearing House A/S, der ejer og driver det danske OCH system, og som man skal have en aftale med hvis men </w:t>
            </w:r>
            <w:proofErr w:type="spellStart"/>
            <w:r>
              <w:t>terminerer</w:t>
            </w:r>
            <w:proofErr w:type="spellEnd"/>
            <w:r>
              <w:t xml:space="preserve"> trafik i danske netværker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 xml:space="preserve">OCH Online 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En WEB adgang til OCH systemet hvor man blandt andet kan følge status på alle numre i det danske net og alle </w:t>
            </w:r>
            <w:proofErr w:type="spellStart"/>
            <w:r>
              <w:t>porteringer</w:t>
            </w:r>
            <w:proofErr w:type="spellEnd"/>
            <w:r>
              <w:t xml:space="preserve">, </w:t>
            </w:r>
            <w:r>
              <w:lastRenderedPageBreak/>
              <w:t>aktive eller gennemførte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lastRenderedPageBreak/>
              <w:t>OCH Systemet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Det software system der anvendes til at afvikle al </w:t>
            </w:r>
            <w:proofErr w:type="spellStart"/>
            <w:r>
              <w:t>administartiv</w:t>
            </w:r>
            <w:proofErr w:type="spellEnd"/>
            <w:r>
              <w:t xml:space="preserve"> Nummer Portering i Danmark. Systemet vedligeholder desuden den danske nummer- og dirigeringsplan. 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PLG – Projekt Leder Gruppen for Nummer Portering</w:t>
            </w:r>
          </w:p>
        </w:tc>
        <w:tc>
          <w:tcPr>
            <w:tcW w:w="6638" w:type="dxa"/>
          </w:tcPr>
          <w:p w:rsidR="008E480E" w:rsidRDefault="008E480E" w:rsidP="005271F2">
            <w:r>
              <w:t>Gruppen vedligeholder R&amp;P og Transaction dokumentet og fungerer som det operationelle organ, der beslutter og implementerer NP forhold.</w:t>
            </w:r>
          </w:p>
          <w:p w:rsidR="008E480E" w:rsidRDefault="008E480E" w:rsidP="005271F2">
            <w:r>
              <w:t xml:space="preserve">Gruppen refererer til </w:t>
            </w:r>
            <w:proofErr w:type="spellStart"/>
            <w:r>
              <w:t>Samtrafikgruppen</w:t>
            </w:r>
            <w:proofErr w:type="spellEnd"/>
            <w:r>
              <w:t xml:space="preserve"> der er </w:t>
            </w:r>
            <w:proofErr w:type="spellStart"/>
            <w:r>
              <w:t>TI’s</w:t>
            </w:r>
            <w:proofErr w:type="spellEnd"/>
            <w:r>
              <w:t xml:space="preserve"> højeste myndighed (bortset fra </w:t>
            </w:r>
            <w:proofErr w:type="spellStart"/>
            <w:r>
              <w:t>TI’s</w:t>
            </w:r>
            <w:proofErr w:type="spellEnd"/>
            <w:r>
              <w:t xml:space="preserve"> bestyrelse).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 xml:space="preserve">R&amp;P - </w:t>
            </w:r>
            <w:proofErr w:type="spellStart"/>
            <w:r>
              <w:t>Rules</w:t>
            </w:r>
            <w:proofErr w:type="spellEnd"/>
            <w:r>
              <w:t xml:space="preserve"> &amp; Procedures</w:t>
            </w:r>
          </w:p>
        </w:tc>
        <w:tc>
          <w:tcPr>
            <w:tcW w:w="6638" w:type="dxa"/>
          </w:tcPr>
          <w:p w:rsidR="008E480E" w:rsidRDefault="008E480E" w:rsidP="005271F2">
            <w:r>
              <w:t xml:space="preserve">Dokumentet beskriver hvordan Nummer Portering håndteres i Danmark. </w:t>
            </w:r>
          </w:p>
          <w:p w:rsidR="008E480E" w:rsidRPr="00430683" w:rsidRDefault="008E480E" w:rsidP="005271F2">
            <w:r>
              <w:t xml:space="preserve">Enhver operatør der </w:t>
            </w:r>
            <w:proofErr w:type="spellStart"/>
            <w:r>
              <w:t>terminerer</w:t>
            </w:r>
            <w:proofErr w:type="spellEnd"/>
            <w:r>
              <w:t xml:space="preserve"> trafik i det danske net skal efterleve spillereglerne i dette dokument.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SO – Service Operatør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 xml:space="preserve">En service </w:t>
            </w:r>
            <w:proofErr w:type="spellStart"/>
            <w:r>
              <w:t>provider</w:t>
            </w:r>
            <w:proofErr w:type="spellEnd"/>
            <w:r>
              <w:t xml:space="preserve"> uden eget netværk, som benytter en </w:t>
            </w:r>
            <w:proofErr w:type="spellStart"/>
            <w:r>
              <w:t>NO’s</w:t>
            </w:r>
            <w:proofErr w:type="spellEnd"/>
            <w:r>
              <w:t xml:space="preserve"> netværk. Han vil have en CPS kode på formen 00xxx, hvis han har en opkobling til OCH Systemet; og han vil have en CPS kode på formen 08xxx hvis han ikke har en opkobling til OCH Systemet.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5271F2" w:rsidRDefault="008E480E" w:rsidP="005271F2">
            <w:pPr>
              <w:rPr>
                <w:lang w:val="en-US"/>
              </w:rPr>
            </w:pPr>
            <w:r w:rsidRPr="005271F2">
              <w:rPr>
                <w:lang w:val="en-US"/>
              </w:rPr>
              <w:t xml:space="preserve">SOAP - </w:t>
            </w:r>
            <w:r w:rsidRPr="005271F2">
              <w:rPr>
                <w:bCs/>
                <w:lang w:val="en"/>
              </w:rPr>
              <w:t>Simple Object Access Protocol</w:t>
            </w:r>
          </w:p>
        </w:tc>
        <w:tc>
          <w:tcPr>
            <w:tcW w:w="6638" w:type="dxa"/>
          </w:tcPr>
          <w:p w:rsidR="008E480E" w:rsidRDefault="008E480E" w:rsidP="005271F2">
            <w:r>
              <w:t>Moderne Application Program Interface mellem ICH og OCH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 w:rsidRPr="00430683">
              <w:t>TI</w:t>
            </w:r>
            <w:r>
              <w:t xml:space="preserve"> – Telekommunikationsindustrien</w:t>
            </w:r>
          </w:p>
        </w:tc>
        <w:tc>
          <w:tcPr>
            <w:tcW w:w="6638" w:type="dxa"/>
          </w:tcPr>
          <w:p w:rsidR="008E480E" w:rsidRPr="00430683" w:rsidRDefault="008E480E" w:rsidP="005271F2">
            <w:r>
              <w:t>Den Brancheforening under Dansk Industri mange teleselskaber er medlem af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Pr="00430683" w:rsidRDefault="008E480E" w:rsidP="005271F2">
            <w:r>
              <w:t>Transaktions dokument</w:t>
            </w:r>
          </w:p>
        </w:tc>
        <w:tc>
          <w:tcPr>
            <w:tcW w:w="6638" w:type="dxa"/>
          </w:tcPr>
          <w:p w:rsidR="008E480E" w:rsidRDefault="008E480E" w:rsidP="005271F2">
            <w:r>
              <w:t xml:space="preserve">Dokumentet uddyber R&amp;P og udgør kravspecifikationen til OCH Systemet. </w:t>
            </w:r>
          </w:p>
          <w:p w:rsidR="008E480E" w:rsidRPr="00430683" w:rsidRDefault="008E480E" w:rsidP="003637E8">
            <w:r>
              <w:t xml:space="preserve">Enhver operatør der </w:t>
            </w:r>
            <w:proofErr w:type="spellStart"/>
            <w:r>
              <w:t>terminere</w:t>
            </w:r>
            <w:r w:rsidR="003637E8">
              <w:t>r</w:t>
            </w:r>
            <w:proofErr w:type="spellEnd"/>
            <w:r>
              <w:t xml:space="preserve"> trafik i det danske net skal efterleve spillereglerne i dette dokument.</w:t>
            </w:r>
          </w:p>
        </w:tc>
      </w:tr>
      <w:tr w:rsidR="008E480E" w:rsidRPr="00326FD0" w:rsidTr="005271F2">
        <w:tc>
          <w:tcPr>
            <w:tcW w:w="3216" w:type="dxa"/>
          </w:tcPr>
          <w:p w:rsidR="008E480E" w:rsidRDefault="008E480E" w:rsidP="005271F2"/>
        </w:tc>
        <w:tc>
          <w:tcPr>
            <w:tcW w:w="6638" w:type="dxa"/>
          </w:tcPr>
          <w:p w:rsidR="008E480E" w:rsidRDefault="008E480E" w:rsidP="005271F2"/>
        </w:tc>
      </w:tr>
    </w:tbl>
    <w:p w:rsidR="008E480E" w:rsidRDefault="008E480E" w:rsidP="008E480E">
      <w:pPr>
        <w:rPr>
          <w:b/>
        </w:rPr>
      </w:pPr>
    </w:p>
    <w:p w:rsidR="008E480E" w:rsidRDefault="008E480E" w:rsidP="008E480E">
      <w:pPr>
        <w:rPr>
          <w:b/>
        </w:rPr>
      </w:pPr>
    </w:p>
    <w:p w:rsidR="008E480E" w:rsidRDefault="008E480E" w:rsidP="008E480E">
      <w:pPr>
        <w:rPr>
          <w:b/>
        </w:rPr>
      </w:pPr>
    </w:p>
    <w:p w:rsidR="008E480E" w:rsidRDefault="008E480E" w:rsidP="008E480E">
      <w:pPr>
        <w:rPr>
          <w:b/>
        </w:rPr>
      </w:pPr>
    </w:p>
    <w:p w:rsidR="008E480E" w:rsidRPr="00610906" w:rsidRDefault="008E480E" w:rsidP="008E480E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3118"/>
      </w:tblGrid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r>
              <w:t>Emne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r>
              <w:t>Beskrivelse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>
            <w:r>
              <w:t>Kontakt</w:t>
            </w:r>
          </w:p>
        </w:tc>
      </w:tr>
      <w:tr w:rsidR="008E480E" w:rsidRPr="00D16CE7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r>
              <w:t>OCH-aftale:</w:t>
            </w:r>
          </w:p>
          <w:p w:rsidR="008E480E" w:rsidRDefault="008E480E" w:rsidP="005271F2">
            <w:pPr>
              <w:ind w:left="720"/>
            </w:pP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r>
              <w:t xml:space="preserve">Der skal </w:t>
            </w:r>
            <w:proofErr w:type="spellStart"/>
            <w:r>
              <w:t>indgåes</w:t>
            </w:r>
            <w:proofErr w:type="spellEnd"/>
            <w:r>
              <w:t xml:space="preserve"> aftale med OCH A/S.  Beskrivelse af opkoblingsform og </w:t>
            </w:r>
            <w:proofErr w:type="spellStart"/>
            <w:r>
              <w:t>aftalerforhold</w:t>
            </w:r>
            <w:proofErr w:type="spellEnd"/>
            <w:r>
              <w:t xml:space="preserve"> forefindes på </w:t>
            </w:r>
            <w:hyperlink r:id="rId6" w:history="1">
              <w:r w:rsidRPr="00D16CE7">
                <w:rPr>
                  <w:rStyle w:val="Hyperlink"/>
                </w:rPr>
                <w:t>www.OCH.dk</w:t>
              </w:r>
            </w:hyperlink>
            <w:r>
              <w:t xml:space="preserve">. Aftalen omhandler CPS kode på OCH systemet, afregning for opkobling samt transaktioner, OCH Online og kommunikations-protokol mod </w:t>
            </w:r>
            <w:proofErr w:type="gramStart"/>
            <w:r>
              <w:t>OCH  Systemet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>OCH A/S: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>Brian Zack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 xml:space="preserve">Mail:  </w:t>
            </w:r>
            <w:hyperlink r:id="rId7" w:history="1">
              <w:r w:rsidRPr="00D16CE7">
                <w:rPr>
                  <w:rStyle w:val="Hyperlink"/>
                  <w:lang w:val="en-GB"/>
                </w:rPr>
                <w:t>bza@telia.dk</w:t>
              </w:r>
            </w:hyperlink>
          </w:p>
          <w:p w:rsidR="008E480E" w:rsidRPr="00D16CE7" w:rsidRDefault="008E480E" w:rsidP="005271F2">
            <w:pPr>
              <w:rPr>
                <w:lang w:val="en-GB"/>
              </w:rPr>
            </w:pPr>
            <w:proofErr w:type="spellStart"/>
            <w:r w:rsidRPr="00D16CE7">
              <w:rPr>
                <w:lang w:val="en-GB"/>
              </w:rPr>
              <w:t>Tlf</w:t>
            </w:r>
            <w:proofErr w:type="spellEnd"/>
            <w:r w:rsidRPr="00D16CE7">
              <w:rPr>
                <w:lang w:val="en-GB"/>
              </w:rPr>
              <w:t>.:   +45 28275509</w:t>
            </w:r>
          </w:p>
        </w:tc>
      </w:tr>
      <w:tr w:rsidR="008E480E" w:rsidRPr="001E29C8" w:rsidTr="005271F2">
        <w:tc>
          <w:tcPr>
            <w:tcW w:w="2410" w:type="dxa"/>
            <w:shd w:val="clear" w:color="auto" w:fill="auto"/>
          </w:tcPr>
          <w:p w:rsidR="008E480E" w:rsidRPr="00D16CE7" w:rsidRDefault="008E480E" w:rsidP="005271F2">
            <w:pPr>
              <w:rPr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ind w:left="720"/>
            </w:pPr>
            <w:r>
              <w:t>1a. Direkte opkobling</w:t>
            </w:r>
          </w:p>
          <w:p w:rsidR="008E480E" w:rsidRPr="001E29C8" w:rsidRDefault="008E480E" w:rsidP="008E480E">
            <w:pPr>
              <w:numPr>
                <w:ilvl w:val="0"/>
                <w:numId w:val="1"/>
              </w:numPr>
            </w:pPr>
            <w:r w:rsidRPr="001E29C8">
              <w:t>Intern Clearing House gennem 3. Part</w:t>
            </w:r>
          </w:p>
          <w:p w:rsidR="008E480E" w:rsidRPr="001E29C8" w:rsidRDefault="003637E8" w:rsidP="008E480E">
            <w:pPr>
              <w:numPr>
                <w:ilvl w:val="0"/>
                <w:numId w:val="1"/>
              </w:numPr>
            </w:pPr>
            <w:r>
              <w:t>Opkoblingsform:</w:t>
            </w:r>
            <w:bookmarkStart w:id="0" w:name="_GoBack"/>
            <w:bookmarkEnd w:id="0"/>
            <w:r w:rsidR="008E480E">
              <w:t xml:space="preserve"> SOAP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Mulighed for adgang til OCH Systemet testmiljø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Incl</w:t>
            </w:r>
            <w:proofErr w:type="spellEnd"/>
            <w:r>
              <w:t>. Adgang til OCH online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lastRenderedPageBreak/>
              <w:t>Kontakt oplysninger skal indleveres og vil være tilgængelige på OCH Online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Ønskes implementerings-dato skal varsles med minimum 14 dage</w:t>
            </w:r>
          </w:p>
          <w:p w:rsidR="008E480E" w:rsidRPr="001E29C8" w:rsidRDefault="008E480E" w:rsidP="008E480E">
            <w:pPr>
              <w:numPr>
                <w:ilvl w:val="0"/>
                <w:numId w:val="1"/>
              </w:numPr>
            </w:pPr>
            <w:r>
              <w:t>En NO indgår altid en direkte opkoblings aftale</w:t>
            </w:r>
          </w:p>
        </w:tc>
        <w:tc>
          <w:tcPr>
            <w:tcW w:w="3118" w:type="dxa"/>
            <w:shd w:val="clear" w:color="auto" w:fill="auto"/>
          </w:tcPr>
          <w:p w:rsidR="008E480E" w:rsidRPr="001E29C8" w:rsidRDefault="008E480E" w:rsidP="005271F2">
            <w:pPr>
              <w:ind w:left="1440"/>
            </w:pPr>
          </w:p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Pr="001E29C8" w:rsidRDefault="008E480E" w:rsidP="005271F2"/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ind w:left="720"/>
            </w:pPr>
            <w:r>
              <w:t>1b. Indirekte opkobling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Ingen Interne Clearing House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Opkobling gennem Netværksoperatør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Adgang til OCH Online (kan tilkøbes)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Kontakt oplysninger skal indleveres og vil være tilgængelige på OCH Online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Ønskes implementerings-dato skal varsles med minimum 14 dage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>
            <w:pPr>
              <w:ind w:left="720"/>
            </w:pPr>
          </w:p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r>
              <w:t>NP-aftale/</w:t>
            </w:r>
          </w:p>
          <w:p w:rsidR="008E480E" w:rsidRDefault="008E480E" w:rsidP="005271F2">
            <w:proofErr w:type="gramStart"/>
            <w:r>
              <w:t>bilaterale</w:t>
            </w:r>
            <w:proofErr w:type="gramEnd"/>
            <w:r>
              <w:t xml:space="preserve"> aftale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r>
              <w:t xml:space="preserve">Der indgås de af branchen specificerede aftaler omkring </w:t>
            </w:r>
            <w:proofErr w:type="spellStart"/>
            <w:r>
              <w:t>Nummerporting</w:t>
            </w:r>
            <w:proofErr w:type="spellEnd"/>
            <w:r>
              <w:t>,</w:t>
            </w:r>
          </w:p>
          <w:p w:rsidR="008E480E" w:rsidRDefault="008E480E" w:rsidP="005271F2">
            <w:r>
              <w:t>Aftalen består af følgende:</w:t>
            </w:r>
          </w:p>
          <w:p w:rsidR="008E480E" w:rsidRDefault="008E480E" w:rsidP="005271F2">
            <w:r>
              <w:t xml:space="preserve">       Brancheaftale (frivillig tiltrædelse)</w:t>
            </w:r>
          </w:p>
          <w:p w:rsidR="008E480E" w:rsidRDefault="008E480E" w:rsidP="005271F2">
            <w:r>
              <w:t xml:space="preserve">       NP aftale, </w:t>
            </w:r>
            <w:proofErr w:type="spellStart"/>
            <w:r>
              <w:t>indgåes</w:t>
            </w:r>
            <w:proofErr w:type="spellEnd"/>
            <w:r>
              <w:t xml:space="preserve"> med alle operatører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 xml:space="preserve">Bilag 1 Prisaftale skal udfyldes </w:t>
            </w:r>
            <w:proofErr w:type="gramStart"/>
            <w:r>
              <w:t>og  medsendes</w:t>
            </w:r>
            <w:proofErr w:type="gramEnd"/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Bilag 2 Etiske retning skal medsendes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>
            <w:r>
              <w:t xml:space="preserve">Aftalerne findes her: Dansk </w:t>
            </w:r>
            <w:proofErr w:type="spellStart"/>
            <w:r>
              <w:t>Teleindusti</w:t>
            </w:r>
            <w:proofErr w:type="spellEnd"/>
          </w:p>
          <w:p w:rsidR="008E480E" w:rsidRDefault="003637E8" w:rsidP="005271F2">
            <w:hyperlink r:id="rId8" w:history="1">
              <w:r w:rsidR="008E480E" w:rsidRPr="00D16CE7">
                <w:rPr>
                  <w:rStyle w:val="Hyperlink"/>
                </w:rPr>
                <w:t>http://www.teleindu.dk/t2w_370.asp</w:t>
              </w:r>
            </w:hyperlink>
            <w:r w:rsidR="008E480E">
              <w:t xml:space="preserve"> </w:t>
            </w:r>
          </w:p>
          <w:p w:rsidR="008E480E" w:rsidRDefault="008E480E" w:rsidP="005271F2"/>
          <w:p w:rsidR="008E480E" w:rsidRDefault="008E480E" w:rsidP="005271F2">
            <w:r>
              <w:t xml:space="preserve">På </w:t>
            </w:r>
            <w:hyperlink r:id="rId9" w:history="1">
              <w:r w:rsidRPr="00D16CE7">
                <w:rPr>
                  <w:rStyle w:val="Hyperlink"/>
                </w:rPr>
                <w:t>www.OCH.dk</w:t>
              </w:r>
            </w:hyperlink>
            <w:r>
              <w:t xml:space="preserve"> findes en operatør oversigt med kontaktpersoner</w:t>
            </w:r>
          </w:p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/>
        </w:tc>
        <w:tc>
          <w:tcPr>
            <w:tcW w:w="5245" w:type="dxa"/>
            <w:shd w:val="clear" w:color="auto" w:fill="auto"/>
          </w:tcPr>
          <w:p w:rsidR="008E480E" w:rsidRDefault="008E480E" w:rsidP="005271F2">
            <w:r>
              <w:t>NP aftalen kan udbygges med bilaterale aftaler omkring: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ICC/Customer ID validering</w:t>
            </w:r>
          </w:p>
          <w:p w:rsidR="008E480E" w:rsidRDefault="008E480E" w:rsidP="008E480E">
            <w:pPr>
              <w:numPr>
                <w:ilvl w:val="0"/>
                <w:numId w:val="1"/>
              </w:numPr>
            </w:pPr>
            <w:r>
              <w:t>Elektronisk fuldmagt, erhverv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/>
        </w:tc>
        <w:tc>
          <w:tcPr>
            <w:tcW w:w="5245" w:type="dxa"/>
            <w:shd w:val="clear" w:color="auto" w:fill="auto"/>
          </w:tcPr>
          <w:p w:rsidR="008E480E" w:rsidRDefault="008E480E" w:rsidP="005271F2">
            <w:r>
              <w:t>ICC Validering: Giver mulighed for at operatører imellem kan validere på telefonnummer og nuværende ICC-nummer (</w:t>
            </w:r>
            <w:proofErr w:type="spellStart"/>
            <w:r>
              <w:t>Simkortnummer</w:t>
            </w:r>
            <w:proofErr w:type="spellEnd"/>
            <w:r>
              <w:t xml:space="preserve">), fremfor fremsendelse af NP-fuldmagter. 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pPr>
              <w:ind w:left="720"/>
            </w:pP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>Customer ID validering: Giver mulighed for at operatører imellem kan validere på telefonnummer og nuværende Customer ID (</w:t>
            </w:r>
            <w:proofErr w:type="spellStart"/>
            <w:r>
              <w:t>kundenr</w:t>
            </w:r>
            <w:proofErr w:type="spellEnd"/>
            <w:r>
              <w:t>), fremfor fremsendelse af NP-fuldmagter.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pPr>
              <w:ind w:left="720"/>
            </w:pPr>
            <w:r>
              <w:t>NB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>Der kan være afvigelser hos de enkelte operatører om hvorvidt specifikke kundesegmenter kan porteres vha. ICC/Customer ID validering.(f.eks. større erhvervskunder)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pPr>
              <w:ind w:left="720"/>
            </w:pPr>
            <w:r>
              <w:t>NB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 xml:space="preserve">NP-fuldmagter skal </w:t>
            </w:r>
            <w:r w:rsidRPr="00D16CE7">
              <w:rPr>
                <w:u w:val="single"/>
              </w:rPr>
              <w:t>altid</w:t>
            </w:r>
            <w:r>
              <w:t xml:space="preserve"> indhentes ved juridisk ejer af telefonnummeret før opstart af </w:t>
            </w:r>
            <w:proofErr w:type="spellStart"/>
            <w:r>
              <w:t>Nummerportering</w:t>
            </w:r>
            <w:proofErr w:type="spellEnd"/>
            <w:r>
              <w:t xml:space="preserve"> uagtet indgåelse af ICC/</w:t>
            </w:r>
            <w:proofErr w:type="spellStart"/>
            <w:r>
              <w:t>Cusomer</w:t>
            </w:r>
            <w:proofErr w:type="spellEnd"/>
            <w:r>
              <w:t xml:space="preserve"> ID validering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pPr>
              <w:ind w:left="720"/>
            </w:pP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proofErr w:type="spellStart"/>
            <w:r>
              <w:t>Eletronisk</w:t>
            </w:r>
            <w:proofErr w:type="spellEnd"/>
            <w:r>
              <w:t xml:space="preserve"> fuldmagt for </w:t>
            </w:r>
            <w:proofErr w:type="spellStart"/>
            <w:r>
              <w:t>consumer</w:t>
            </w:r>
            <w:proofErr w:type="spellEnd"/>
            <w:r>
              <w:t xml:space="preserve"> kunder er implicit i NP aftalen. Ved ønske om anvendelse af elektronisk fuldmagt for business kunder skal der </w:t>
            </w:r>
            <w:proofErr w:type="spellStart"/>
            <w:r>
              <w:t>indgåes</w:t>
            </w:r>
            <w:proofErr w:type="spellEnd"/>
            <w:r>
              <w:t xml:space="preserve"> bilateral aftale.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</w:tc>
      </w:tr>
      <w:tr w:rsidR="008E480E" w:rsidTr="005271F2">
        <w:tc>
          <w:tcPr>
            <w:tcW w:w="2410" w:type="dxa"/>
            <w:shd w:val="clear" w:color="auto" w:fill="auto"/>
          </w:tcPr>
          <w:p w:rsidR="008E480E" w:rsidRDefault="008E480E" w:rsidP="005271F2">
            <w:r>
              <w:t>Nummer-implementering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 xml:space="preserve">Hvis egen nummerserie ønskes skal gældende procedure hos </w:t>
            </w:r>
            <w:proofErr w:type="spellStart"/>
            <w:r>
              <w:t>Ervhervsstyrelsen</w:t>
            </w:r>
            <w:proofErr w:type="spellEnd"/>
            <w:r>
              <w:t xml:space="preserve"> følges.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>
            <w:r>
              <w:t>DENNE LINK VIRKER IKKE</w:t>
            </w:r>
          </w:p>
          <w:p w:rsidR="008E480E" w:rsidRDefault="003637E8" w:rsidP="005271F2">
            <w:hyperlink r:id="rId10" w:history="1">
              <w:r w:rsidR="008E480E" w:rsidRPr="00D16CE7">
                <w:rPr>
                  <w:rStyle w:val="Hyperlink"/>
                </w:rPr>
                <w:t>http://www.itst.dk/tele-og-internetregulering/ nummerforhold</w:t>
              </w:r>
            </w:hyperlink>
          </w:p>
        </w:tc>
      </w:tr>
      <w:tr w:rsidR="008E480E" w:rsidRPr="003637E8" w:rsidTr="005271F2">
        <w:tc>
          <w:tcPr>
            <w:tcW w:w="2410" w:type="dxa"/>
            <w:shd w:val="clear" w:color="auto" w:fill="auto"/>
          </w:tcPr>
          <w:p w:rsidR="008E480E" w:rsidRDefault="008E480E" w:rsidP="005271F2"/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>Godkendelse af Routing/</w:t>
            </w:r>
            <w:proofErr w:type="spellStart"/>
            <w:r>
              <w:t>Charting</w:t>
            </w:r>
            <w:proofErr w:type="spellEnd"/>
            <w:r>
              <w:t xml:space="preserve"> Code sker ved kontakt til </w:t>
            </w:r>
            <w:proofErr w:type="spellStart"/>
            <w:r>
              <w:t>PLGs</w:t>
            </w:r>
            <w:proofErr w:type="spellEnd"/>
            <w:r>
              <w:t xml:space="preserve"> formand. Henvendelsen skal indeholde følgende info:</w:t>
            </w:r>
          </w:p>
          <w:p w:rsidR="008E480E" w:rsidRPr="008E480E" w:rsidRDefault="008E480E" w:rsidP="005271F2">
            <w:pPr>
              <w:ind w:left="1304"/>
              <w:jc w:val="both"/>
            </w:pPr>
            <w:r w:rsidRPr="008E480E">
              <w:t xml:space="preserve">Operatørnavn: </w:t>
            </w:r>
            <w:r w:rsidRPr="008E480E">
              <w:rPr>
                <w:b/>
                <w:bCs/>
              </w:rPr>
              <w:br/>
            </w:r>
            <w:r w:rsidRPr="008E480E">
              <w:t>CPS-kode:</w:t>
            </w:r>
            <w:r w:rsidRPr="008E480E">
              <w:rPr>
                <w:b/>
                <w:bCs/>
              </w:rPr>
              <w:br/>
            </w:r>
            <w:proofErr w:type="spellStart"/>
            <w:r w:rsidRPr="008E480E">
              <w:t>ServiceOperatør</w:t>
            </w:r>
            <w:proofErr w:type="spellEnd"/>
            <w:r w:rsidRPr="008E480E">
              <w:t>:</w:t>
            </w:r>
            <w:r w:rsidRPr="008E480E">
              <w:rPr>
                <w:b/>
                <w:bCs/>
              </w:rPr>
              <w:br/>
            </w:r>
            <w:proofErr w:type="spellStart"/>
            <w:r w:rsidRPr="008E480E">
              <w:t>Netværkoperatør</w:t>
            </w:r>
            <w:proofErr w:type="spellEnd"/>
            <w:r w:rsidRPr="008E480E">
              <w:t>:</w:t>
            </w:r>
            <w:r w:rsidRPr="008E480E">
              <w:rPr>
                <w:b/>
                <w:bCs/>
              </w:rPr>
              <w:br/>
            </w:r>
            <w:proofErr w:type="spellStart"/>
            <w:r w:rsidRPr="008E480E">
              <w:t>Interconnect</w:t>
            </w:r>
            <w:proofErr w:type="spellEnd"/>
            <w:r w:rsidRPr="008E480E">
              <w:t>:</w:t>
            </w:r>
            <w:r w:rsidRPr="008E480E">
              <w:rPr>
                <w:b/>
                <w:bCs/>
              </w:rPr>
              <w:br/>
            </w:r>
            <w:proofErr w:type="spellStart"/>
            <w:r w:rsidRPr="008E480E">
              <w:t>Numberrange</w:t>
            </w:r>
            <w:proofErr w:type="spellEnd"/>
            <w:r w:rsidRPr="008E480E">
              <w:t>:</w:t>
            </w:r>
            <w:r w:rsidRPr="008E480E">
              <w:rPr>
                <w:b/>
                <w:bCs/>
              </w:rPr>
              <w:br/>
            </w:r>
            <w:proofErr w:type="spellStart"/>
            <w:r w:rsidRPr="008E480E">
              <w:t>NumberType</w:t>
            </w:r>
            <w:proofErr w:type="spellEnd"/>
            <w:r w:rsidRPr="008E480E">
              <w:t>:</w:t>
            </w:r>
            <w:r w:rsidRPr="008E480E">
              <w:rPr>
                <w:b/>
                <w:bCs/>
              </w:rPr>
              <w:br/>
            </w:r>
            <w:proofErr w:type="spellStart"/>
            <w:r w:rsidRPr="008E480E">
              <w:t>WantedRI</w:t>
            </w:r>
            <w:proofErr w:type="spellEnd"/>
            <w:r w:rsidRPr="008E480E">
              <w:t>/CI:</w:t>
            </w:r>
            <w:r w:rsidRPr="008E480E">
              <w:rPr>
                <w:b/>
                <w:bCs/>
              </w:rPr>
              <w:br/>
            </w:r>
            <w:r w:rsidRPr="008E480E">
              <w:t xml:space="preserve">Date of </w:t>
            </w:r>
            <w:proofErr w:type="spellStart"/>
            <w:r w:rsidRPr="008E480E">
              <w:t>implm</w:t>
            </w:r>
            <w:proofErr w:type="spellEnd"/>
            <w:r w:rsidRPr="008E480E">
              <w:t>.:</w:t>
            </w:r>
          </w:p>
          <w:p w:rsidR="008E480E" w:rsidRPr="008E480E" w:rsidRDefault="008E480E" w:rsidP="005271F2">
            <w:pPr>
              <w:jc w:val="both"/>
            </w:pPr>
            <w:proofErr w:type="spellStart"/>
            <w:r w:rsidRPr="008E480E">
              <w:t>Godkendelseperiode</w:t>
            </w:r>
            <w:proofErr w:type="spellEnd"/>
            <w:r w:rsidRPr="008E480E">
              <w:t>: 14 dage</w:t>
            </w:r>
          </w:p>
          <w:p w:rsidR="008E480E" w:rsidRDefault="008E480E" w:rsidP="005271F2">
            <w:pPr>
              <w:jc w:val="both"/>
            </w:pPr>
            <w:r w:rsidRPr="003003F3">
              <w:t>Yderligere information om RI/C</w:t>
            </w:r>
            <w:r>
              <w:t>I</w:t>
            </w:r>
            <w:r w:rsidRPr="003003F3">
              <w:t xml:space="preserve"> koder kan find</w:t>
            </w:r>
            <w:r>
              <w:t>e</w:t>
            </w:r>
            <w:r w:rsidRPr="003003F3">
              <w:t xml:space="preserve">s i </w:t>
            </w:r>
            <w:proofErr w:type="spellStart"/>
            <w:r w:rsidRPr="003003F3">
              <w:t>Rules</w:t>
            </w:r>
            <w:proofErr w:type="spellEnd"/>
            <w:r w:rsidRPr="003003F3">
              <w:t xml:space="preserve"> &amp; Procedure</w:t>
            </w:r>
          </w:p>
          <w:p w:rsidR="008E480E" w:rsidRPr="003003F3" w:rsidRDefault="008E480E" w:rsidP="005271F2">
            <w:pPr>
              <w:jc w:val="both"/>
            </w:pPr>
            <w:r>
              <w:t>RI/CI (Routing Info/</w:t>
            </w:r>
            <w:proofErr w:type="spellStart"/>
            <w:r>
              <w:t>Charging</w:t>
            </w:r>
            <w:proofErr w:type="spellEnd"/>
            <w:r>
              <w:t xml:space="preserve"> Info) anvendes på mobile numre og ofte også på 70/80/90 numre og VoIP numre</w:t>
            </w:r>
          </w:p>
        </w:tc>
        <w:tc>
          <w:tcPr>
            <w:tcW w:w="3118" w:type="dxa"/>
            <w:shd w:val="clear" w:color="auto" w:fill="auto"/>
          </w:tcPr>
          <w:p w:rsidR="008E480E" w:rsidRPr="008E480E" w:rsidRDefault="008E480E" w:rsidP="005271F2">
            <w:r w:rsidRPr="008E480E">
              <w:t>Henvendelse til:</w:t>
            </w:r>
          </w:p>
          <w:p w:rsidR="008E480E" w:rsidRPr="008E480E" w:rsidRDefault="008E480E" w:rsidP="005271F2">
            <w:r w:rsidRPr="008E480E">
              <w:t>PLG-formand:</w:t>
            </w:r>
          </w:p>
          <w:p w:rsidR="008E480E" w:rsidRPr="008E480E" w:rsidRDefault="008E480E" w:rsidP="005271F2">
            <w:r w:rsidRPr="008E480E">
              <w:t>Mona Schnell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 xml:space="preserve">Mail: </w:t>
            </w:r>
            <w:hyperlink r:id="rId11" w:history="1">
              <w:r w:rsidRPr="00D16CE7">
                <w:rPr>
                  <w:rStyle w:val="Hyperlink"/>
                  <w:lang w:val="en-GB"/>
                </w:rPr>
                <w:t>mll@telenor.dk</w:t>
              </w:r>
            </w:hyperlink>
          </w:p>
          <w:p w:rsidR="008E480E" w:rsidRPr="00D16CE7" w:rsidRDefault="008E480E" w:rsidP="005271F2">
            <w:pPr>
              <w:rPr>
                <w:lang w:val="en-GB"/>
              </w:rPr>
            </w:pPr>
            <w:proofErr w:type="spellStart"/>
            <w:r w:rsidRPr="00D16CE7">
              <w:rPr>
                <w:lang w:val="en-GB"/>
              </w:rPr>
              <w:t>Tlf</w:t>
            </w:r>
            <w:proofErr w:type="spellEnd"/>
            <w:r w:rsidRPr="00D16CE7">
              <w:rPr>
                <w:lang w:val="en-GB"/>
              </w:rPr>
              <w:t>. +4560506435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8E480E" w:rsidP="005271F2">
            <w:pPr>
              <w:rPr>
                <w:lang w:val="en-GB"/>
              </w:rPr>
            </w:pPr>
          </w:p>
          <w:p w:rsidR="008E480E" w:rsidRPr="00D16CE7" w:rsidRDefault="003637E8" w:rsidP="005271F2">
            <w:pPr>
              <w:rPr>
                <w:lang w:val="en-GB"/>
              </w:rPr>
            </w:pPr>
            <w:hyperlink r:id="rId12" w:history="1">
              <w:r w:rsidR="008E480E" w:rsidRPr="00D16CE7">
                <w:rPr>
                  <w:rStyle w:val="Hyperlink"/>
                  <w:lang w:val="en-GB"/>
                </w:rPr>
                <w:t>http://www.teleindu.dk/t2w_370.asp</w:t>
              </w:r>
            </w:hyperlink>
          </w:p>
        </w:tc>
      </w:tr>
      <w:tr w:rsidR="008E480E" w:rsidRPr="003003F3" w:rsidTr="005271F2">
        <w:tc>
          <w:tcPr>
            <w:tcW w:w="2410" w:type="dxa"/>
            <w:shd w:val="clear" w:color="auto" w:fill="auto"/>
          </w:tcPr>
          <w:p w:rsidR="008E480E" w:rsidRPr="00D16CE7" w:rsidRDefault="008E480E" w:rsidP="005271F2">
            <w:pPr>
              <w:rPr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:rsidR="008E480E" w:rsidRPr="00D16CE7" w:rsidRDefault="008E480E" w:rsidP="005271F2">
            <w:pPr>
              <w:jc w:val="both"/>
              <w:rPr>
                <w:lang w:val="en-GB"/>
              </w:rPr>
            </w:pPr>
            <w:r w:rsidRPr="008E480E">
              <w:t xml:space="preserve">Implementeringsanmodning (pr. mail) sendes til alle Netværksoperatører for implementering i de enkelte netværk. </w:t>
            </w:r>
            <w:proofErr w:type="spellStart"/>
            <w:r w:rsidRPr="00D16CE7">
              <w:rPr>
                <w:lang w:val="en-GB"/>
              </w:rPr>
              <w:t>Implementeringstiden</w:t>
            </w:r>
            <w:proofErr w:type="spellEnd"/>
            <w:r w:rsidRPr="00D16CE7">
              <w:rPr>
                <w:lang w:val="en-GB"/>
              </w:rPr>
              <w:t xml:space="preserve"> </w:t>
            </w:r>
            <w:proofErr w:type="spellStart"/>
            <w:r w:rsidRPr="00D16CE7">
              <w:rPr>
                <w:lang w:val="en-GB"/>
              </w:rPr>
              <w:t>kan</w:t>
            </w:r>
            <w:proofErr w:type="spellEnd"/>
            <w:r w:rsidRPr="00D16CE7">
              <w:rPr>
                <w:lang w:val="en-GB"/>
              </w:rPr>
              <w:t xml:space="preserve"> </w:t>
            </w:r>
            <w:proofErr w:type="spellStart"/>
            <w:r w:rsidRPr="00D16CE7">
              <w:rPr>
                <w:lang w:val="en-GB"/>
              </w:rPr>
              <w:t>variere</w:t>
            </w:r>
            <w:proofErr w:type="spellEnd"/>
            <w:r w:rsidRPr="00D16CE7">
              <w:rPr>
                <w:lang w:val="en-GB"/>
              </w:rPr>
              <w:t xml:space="preserve"> for den </w:t>
            </w:r>
            <w:proofErr w:type="spellStart"/>
            <w:r w:rsidRPr="00D16CE7">
              <w:rPr>
                <w:lang w:val="en-GB"/>
              </w:rPr>
              <w:t>enkelte</w:t>
            </w:r>
            <w:proofErr w:type="spellEnd"/>
            <w:r w:rsidRPr="00D16CE7">
              <w:rPr>
                <w:lang w:val="en-GB"/>
              </w:rPr>
              <w:t xml:space="preserve"> </w:t>
            </w:r>
            <w:proofErr w:type="spellStart"/>
            <w:r w:rsidRPr="00D16CE7">
              <w:rPr>
                <w:lang w:val="en-GB"/>
              </w:rPr>
              <w:t>netværksoperatør</w:t>
            </w:r>
            <w:proofErr w:type="spellEnd"/>
            <w:r w:rsidRPr="00D16CE7">
              <w:rPr>
                <w:lang w:val="en-GB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8E480E" w:rsidRPr="003003F3" w:rsidRDefault="003637E8" w:rsidP="005271F2">
            <w:hyperlink r:id="rId13" w:history="1">
              <w:r w:rsidR="008E480E" w:rsidRPr="008E480E">
                <w:rPr>
                  <w:rStyle w:val="Hyperlink"/>
                </w:rPr>
                <w:t>http://www.itst.dk</w:t>
              </w:r>
              <w:r w:rsidR="008E480E" w:rsidRPr="00D16CE7">
                <w:rPr>
                  <w:rStyle w:val="Hyperlink"/>
                </w:rPr>
                <w:t>/tele-og-internetregulering/ nummerforhold</w:t>
              </w:r>
            </w:hyperlink>
          </w:p>
        </w:tc>
      </w:tr>
      <w:tr w:rsidR="008E480E" w:rsidRPr="003003F3" w:rsidTr="005271F2">
        <w:tc>
          <w:tcPr>
            <w:tcW w:w="2410" w:type="dxa"/>
            <w:shd w:val="clear" w:color="auto" w:fill="auto"/>
          </w:tcPr>
          <w:p w:rsidR="008E480E" w:rsidRPr="008E480E" w:rsidRDefault="008E480E" w:rsidP="005271F2"/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 xml:space="preserve">Implementering på OCH Systemet foretages af den direkte opkoblede operatør, af den indirekte opkoblede operatør foretages implementering på OCH af Netværksoperatøren. </w:t>
            </w:r>
          </w:p>
        </w:tc>
        <w:tc>
          <w:tcPr>
            <w:tcW w:w="3118" w:type="dxa"/>
            <w:shd w:val="clear" w:color="auto" w:fill="auto"/>
          </w:tcPr>
          <w:p w:rsidR="008E480E" w:rsidRPr="003003F3" w:rsidRDefault="008E480E" w:rsidP="005271F2"/>
        </w:tc>
      </w:tr>
      <w:tr w:rsidR="008E480E" w:rsidRPr="003003F3" w:rsidTr="005271F2">
        <w:tc>
          <w:tcPr>
            <w:tcW w:w="2410" w:type="dxa"/>
            <w:shd w:val="clear" w:color="auto" w:fill="auto"/>
          </w:tcPr>
          <w:p w:rsidR="008E480E" w:rsidRPr="005271F2" w:rsidRDefault="008E480E" w:rsidP="005271F2"/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 xml:space="preserve">Nummerserien kan først </w:t>
            </w:r>
            <w:proofErr w:type="spellStart"/>
            <w:r>
              <w:t>implemeteres</w:t>
            </w:r>
            <w:proofErr w:type="spellEnd"/>
            <w:r>
              <w:t xml:space="preserve"> på OCH når følgende er opfyldt:</w:t>
            </w:r>
          </w:p>
          <w:p w:rsidR="008E480E" w:rsidRDefault="008E480E" w:rsidP="008E480E">
            <w:pPr>
              <w:numPr>
                <w:ilvl w:val="0"/>
                <w:numId w:val="1"/>
              </w:numPr>
              <w:jc w:val="both"/>
            </w:pPr>
            <w:r>
              <w:t>CPS kode aktiv</w:t>
            </w:r>
          </w:p>
          <w:p w:rsidR="008E480E" w:rsidRDefault="008E480E" w:rsidP="008E480E">
            <w:pPr>
              <w:numPr>
                <w:ilvl w:val="0"/>
                <w:numId w:val="1"/>
              </w:numPr>
              <w:jc w:val="both"/>
            </w:pPr>
            <w:r>
              <w:t>RI/CI kode godkendt</w:t>
            </w:r>
          </w:p>
          <w:p w:rsidR="008E480E" w:rsidRDefault="008E480E" w:rsidP="008E480E">
            <w:pPr>
              <w:numPr>
                <w:ilvl w:val="0"/>
                <w:numId w:val="1"/>
              </w:numPr>
              <w:jc w:val="both"/>
            </w:pPr>
            <w:r>
              <w:t>Nummerserien skal være tildelt fra Erhvervsstyrelsen</w:t>
            </w:r>
          </w:p>
          <w:p w:rsidR="008E480E" w:rsidRDefault="008E480E" w:rsidP="008E480E">
            <w:pPr>
              <w:numPr>
                <w:ilvl w:val="0"/>
                <w:numId w:val="1"/>
              </w:numPr>
              <w:jc w:val="both"/>
            </w:pPr>
            <w:r>
              <w:t>Implementeringsanmodning skal være godkendt</w:t>
            </w:r>
          </w:p>
        </w:tc>
        <w:tc>
          <w:tcPr>
            <w:tcW w:w="3118" w:type="dxa"/>
            <w:shd w:val="clear" w:color="auto" w:fill="auto"/>
          </w:tcPr>
          <w:p w:rsidR="008E480E" w:rsidRPr="003003F3" w:rsidRDefault="008E480E" w:rsidP="005271F2"/>
        </w:tc>
      </w:tr>
      <w:tr w:rsidR="008E480E" w:rsidRPr="003003F3" w:rsidTr="005271F2">
        <w:tc>
          <w:tcPr>
            <w:tcW w:w="2410" w:type="dxa"/>
            <w:shd w:val="clear" w:color="auto" w:fill="auto"/>
          </w:tcPr>
          <w:p w:rsidR="008E480E" w:rsidRPr="00D16CE7" w:rsidRDefault="008E480E" w:rsidP="005271F2">
            <w:pPr>
              <w:jc w:val="center"/>
              <w:rPr>
                <w:lang w:val="en-GB"/>
              </w:rPr>
            </w:pPr>
            <w:r w:rsidRPr="00D16CE7">
              <w:rPr>
                <w:lang w:val="en-GB"/>
              </w:rPr>
              <w:t>NB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proofErr w:type="spellStart"/>
            <w:r>
              <w:t>Numbertype</w:t>
            </w:r>
            <w:proofErr w:type="spellEnd"/>
            <w:r>
              <w:t xml:space="preserve"> kan ikke afvige fra det i den danske nummerplan specificerede ved de enkelte nummerserier</w:t>
            </w:r>
          </w:p>
        </w:tc>
        <w:tc>
          <w:tcPr>
            <w:tcW w:w="3118" w:type="dxa"/>
            <w:shd w:val="clear" w:color="auto" w:fill="auto"/>
          </w:tcPr>
          <w:p w:rsidR="008E480E" w:rsidRPr="003003F3" w:rsidRDefault="008E480E" w:rsidP="005271F2"/>
        </w:tc>
      </w:tr>
      <w:tr w:rsidR="008E480E" w:rsidRPr="003003F3" w:rsidTr="005271F2">
        <w:tc>
          <w:tcPr>
            <w:tcW w:w="2410" w:type="dxa"/>
            <w:shd w:val="clear" w:color="auto" w:fill="auto"/>
          </w:tcPr>
          <w:p w:rsidR="008E480E" w:rsidRPr="00D16CE7" w:rsidRDefault="008E480E" w:rsidP="005271F2">
            <w:pPr>
              <w:jc w:val="center"/>
              <w:rPr>
                <w:lang w:val="en-GB"/>
              </w:rPr>
            </w:pPr>
            <w:r w:rsidRPr="00D16CE7">
              <w:rPr>
                <w:lang w:val="en-GB"/>
              </w:rPr>
              <w:lastRenderedPageBreak/>
              <w:t>NB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5271F2">
            <w:pPr>
              <w:jc w:val="both"/>
            </w:pPr>
            <w:r>
              <w:t xml:space="preserve">RI/CI koder godkendes til respektive </w:t>
            </w:r>
            <w:proofErr w:type="spellStart"/>
            <w:r>
              <w:t>NumberTypes</w:t>
            </w:r>
            <w:proofErr w:type="spellEnd"/>
            <w:r>
              <w:t xml:space="preserve">, FIXED eller GSM. RI/CI </w:t>
            </w:r>
            <w:proofErr w:type="gramStart"/>
            <w:r>
              <w:t>koden  kan</w:t>
            </w:r>
            <w:proofErr w:type="gramEnd"/>
            <w:r>
              <w:t xml:space="preserve"> kun anvendes til denne specifikke nummertype.</w:t>
            </w:r>
          </w:p>
        </w:tc>
        <w:tc>
          <w:tcPr>
            <w:tcW w:w="3118" w:type="dxa"/>
            <w:shd w:val="clear" w:color="auto" w:fill="auto"/>
          </w:tcPr>
          <w:p w:rsidR="008E480E" w:rsidRPr="003003F3" w:rsidRDefault="008E480E" w:rsidP="005271F2"/>
        </w:tc>
      </w:tr>
      <w:tr w:rsidR="008E480E" w:rsidRPr="00D16CE7" w:rsidTr="005271F2">
        <w:tc>
          <w:tcPr>
            <w:tcW w:w="2410" w:type="dxa"/>
            <w:shd w:val="clear" w:color="auto" w:fill="auto"/>
          </w:tcPr>
          <w:p w:rsidR="008E480E" w:rsidRPr="008E480E" w:rsidRDefault="008E480E" w:rsidP="005271F2">
            <w:pPr>
              <w:jc w:val="center"/>
            </w:pPr>
            <w:proofErr w:type="spellStart"/>
            <w:r w:rsidRPr="008E480E">
              <w:t>Kontakterflade</w:t>
            </w:r>
            <w:proofErr w:type="spellEnd"/>
            <w:r w:rsidRPr="008E480E">
              <w:t xml:space="preserve"> hos de </w:t>
            </w:r>
            <w:proofErr w:type="spellStart"/>
            <w:r w:rsidRPr="008E480E">
              <w:t>respective</w:t>
            </w:r>
            <w:proofErr w:type="spellEnd"/>
            <w:r w:rsidRPr="008E480E">
              <w:t xml:space="preserve"> operatører</w:t>
            </w:r>
          </w:p>
        </w:tc>
        <w:tc>
          <w:tcPr>
            <w:tcW w:w="5245" w:type="dxa"/>
            <w:shd w:val="clear" w:color="auto" w:fill="auto"/>
          </w:tcPr>
          <w:p w:rsidR="008E480E" w:rsidRPr="005271F2" w:rsidRDefault="008E480E" w:rsidP="005271F2">
            <w:pPr>
              <w:jc w:val="both"/>
            </w:pPr>
            <w:r w:rsidRPr="005271F2">
              <w:t>Adresseliste og kontaktflader på hver enkelte operatør forefindes på OCH A/S hjemmeside og på OCH Online.</w:t>
            </w:r>
          </w:p>
        </w:tc>
        <w:tc>
          <w:tcPr>
            <w:tcW w:w="3118" w:type="dxa"/>
            <w:shd w:val="clear" w:color="auto" w:fill="auto"/>
          </w:tcPr>
          <w:p w:rsidR="008E480E" w:rsidRDefault="003637E8" w:rsidP="005271F2">
            <w:pPr>
              <w:rPr>
                <w:lang w:val="en-GB"/>
              </w:rPr>
            </w:pPr>
            <w:hyperlink r:id="rId14" w:history="1">
              <w:r w:rsidR="008E480E" w:rsidRPr="00D16CE7">
                <w:rPr>
                  <w:rStyle w:val="Hyperlink"/>
                </w:rPr>
                <w:t>www.OCH.dk</w:t>
              </w:r>
            </w:hyperlink>
          </w:p>
          <w:p w:rsidR="008E480E" w:rsidRPr="00D16CE7" w:rsidRDefault="008E480E" w:rsidP="005271F2">
            <w:pPr>
              <w:rPr>
                <w:lang w:val="en-GB"/>
              </w:rPr>
            </w:pPr>
          </w:p>
        </w:tc>
      </w:tr>
      <w:tr w:rsidR="008E480E" w:rsidRPr="007C7B77" w:rsidTr="005271F2">
        <w:tc>
          <w:tcPr>
            <w:tcW w:w="2410" w:type="dxa"/>
            <w:shd w:val="clear" w:color="auto" w:fill="auto"/>
          </w:tcPr>
          <w:p w:rsidR="008E480E" w:rsidRPr="007C7B77" w:rsidRDefault="008E480E" w:rsidP="005271F2">
            <w:r w:rsidRPr="007C7B77">
              <w:t>Tvivlspørgsmål mellem to operatø</w:t>
            </w:r>
            <w:r>
              <w:t>r</w:t>
            </w:r>
            <w:r w:rsidRPr="007C7B77">
              <w:t>er</w:t>
            </w:r>
          </w:p>
        </w:tc>
        <w:tc>
          <w:tcPr>
            <w:tcW w:w="5245" w:type="dxa"/>
            <w:shd w:val="clear" w:color="auto" w:fill="auto"/>
          </w:tcPr>
          <w:p w:rsidR="008E480E" w:rsidRPr="007C7B77" w:rsidRDefault="008E480E" w:rsidP="005271F2">
            <w:pPr>
              <w:jc w:val="both"/>
            </w:pPr>
            <w:r>
              <w:t xml:space="preserve">Tvivlspørgsmål mellem to operatører skal som udgangspunkt løses ved mægling mellem </w:t>
            </w:r>
            <w:proofErr w:type="spellStart"/>
            <w:r>
              <w:t>operatørene</w:t>
            </w:r>
            <w:proofErr w:type="spellEnd"/>
            <w:r>
              <w:t xml:space="preserve"> alternativt indbringes for rette myndighed eller domstol</w:t>
            </w:r>
          </w:p>
        </w:tc>
        <w:tc>
          <w:tcPr>
            <w:tcW w:w="3118" w:type="dxa"/>
            <w:shd w:val="clear" w:color="auto" w:fill="auto"/>
          </w:tcPr>
          <w:p w:rsidR="008E480E" w:rsidRPr="007C7B77" w:rsidRDefault="008E480E" w:rsidP="005271F2"/>
        </w:tc>
      </w:tr>
      <w:tr w:rsidR="008E480E" w:rsidRPr="007C7B77" w:rsidTr="005271F2">
        <w:tc>
          <w:tcPr>
            <w:tcW w:w="2410" w:type="dxa"/>
            <w:shd w:val="clear" w:color="auto" w:fill="auto"/>
          </w:tcPr>
          <w:p w:rsidR="008E480E" w:rsidRPr="007C7B77" w:rsidRDefault="008E480E" w:rsidP="005271F2">
            <w:r w:rsidRPr="007C7B77">
              <w:t>Tvivlspørgsmål mellem to operatø</w:t>
            </w:r>
            <w:r>
              <w:t>r</w:t>
            </w:r>
            <w:r w:rsidRPr="007C7B77">
              <w:t xml:space="preserve">er – </w:t>
            </w:r>
            <w:proofErr w:type="spellStart"/>
            <w:r w:rsidRPr="007C7B77">
              <w:t>PLGs</w:t>
            </w:r>
            <w:proofErr w:type="spellEnd"/>
            <w:r w:rsidRPr="007C7B77">
              <w:t xml:space="preserve"> Rolle</w:t>
            </w:r>
          </w:p>
        </w:tc>
        <w:tc>
          <w:tcPr>
            <w:tcW w:w="5245" w:type="dxa"/>
            <w:shd w:val="clear" w:color="auto" w:fill="auto"/>
          </w:tcPr>
          <w:p w:rsidR="008E480E" w:rsidRPr="007C7B77" w:rsidRDefault="008E480E" w:rsidP="008E480E">
            <w:pPr>
              <w:numPr>
                <w:ilvl w:val="0"/>
                <w:numId w:val="3"/>
              </w:numPr>
              <w:jc w:val="both"/>
            </w:pPr>
            <w:r w:rsidRPr="007C7B77">
              <w:t>TI-medlemmer kan drøfte tolkning a</w:t>
            </w:r>
            <w:r>
              <w:t xml:space="preserve">f NP-regler og aftale ændringer/ </w:t>
            </w:r>
            <w:r w:rsidRPr="007C7B77">
              <w:t>indskærpelser</w:t>
            </w:r>
          </w:p>
          <w:p w:rsidR="008E480E" w:rsidRDefault="008E480E" w:rsidP="008E480E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t>Ikke TI-medlemmer kan</w:t>
            </w:r>
            <w:proofErr w:type="gramEnd"/>
            <w:r>
              <w:t xml:space="preserve"> henvende sig til PLG til generelle problemstillinger som gruppen kan drøfte.</w:t>
            </w:r>
          </w:p>
          <w:p w:rsidR="008E480E" w:rsidRPr="008E480E" w:rsidRDefault="008E480E" w:rsidP="008E480E">
            <w:pPr>
              <w:numPr>
                <w:ilvl w:val="0"/>
                <w:numId w:val="3"/>
              </w:numPr>
              <w:jc w:val="both"/>
            </w:pPr>
            <w:r w:rsidRPr="008E480E">
              <w:t>PLG under Teleindustrien og PLG-formanden har ikke mandat til at påtvinge operatører hvorledes de tolker Branchens NP-regler</w:t>
            </w:r>
          </w:p>
        </w:tc>
        <w:tc>
          <w:tcPr>
            <w:tcW w:w="3118" w:type="dxa"/>
            <w:shd w:val="clear" w:color="auto" w:fill="auto"/>
          </w:tcPr>
          <w:p w:rsidR="008E480E" w:rsidRDefault="008E480E" w:rsidP="005271F2">
            <w:hyperlink r:id="rId15" w:history="1">
              <w:r w:rsidRPr="00D16CE7">
                <w:rPr>
                  <w:rStyle w:val="Hyperlink"/>
                </w:rPr>
                <w:t>www.teleindu.dk</w:t>
              </w:r>
            </w:hyperlink>
          </w:p>
          <w:p w:rsidR="008E480E" w:rsidRDefault="008E480E" w:rsidP="005271F2"/>
          <w:p w:rsidR="008E480E" w:rsidRPr="008E480E" w:rsidRDefault="008E480E" w:rsidP="005271F2"/>
          <w:p w:rsidR="008E480E" w:rsidRPr="008E480E" w:rsidRDefault="008E480E" w:rsidP="005271F2"/>
          <w:p w:rsidR="008E480E" w:rsidRPr="008E480E" w:rsidRDefault="008E480E" w:rsidP="005271F2"/>
          <w:p w:rsidR="008E480E" w:rsidRPr="008E480E" w:rsidRDefault="008E480E" w:rsidP="005271F2">
            <w:r w:rsidRPr="008E480E">
              <w:t>PLG-formand: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>Mona Schnell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 xml:space="preserve">Mail: </w:t>
            </w:r>
            <w:hyperlink r:id="rId16" w:history="1">
              <w:r w:rsidRPr="00D16CE7">
                <w:rPr>
                  <w:rStyle w:val="Hyperlink"/>
                  <w:lang w:val="en-GB"/>
                </w:rPr>
                <w:t>mll@telenor.dk</w:t>
              </w:r>
            </w:hyperlink>
          </w:p>
          <w:p w:rsidR="008E480E" w:rsidRPr="007C7B77" w:rsidRDefault="008E480E" w:rsidP="005271F2">
            <w:proofErr w:type="spellStart"/>
            <w:r w:rsidRPr="00D16CE7">
              <w:rPr>
                <w:lang w:val="en-GB"/>
              </w:rPr>
              <w:t>Tlf</w:t>
            </w:r>
            <w:proofErr w:type="spellEnd"/>
            <w:r w:rsidRPr="00D16CE7">
              <w:rPr>
                <w:lang w:val="en-GB"/>
              </w:rPr>
              <w:t>. +4560506435</w:t>
            </w:r>
          </w:p>
        </w:tc>
      </w:tr>
      <w:tr w:rsidR="008E480E" w:rsidRPr="007C7B77" w:rsidTr="005271F2">
        <w:tc>
          <w:tcPr>
            <w:tcW w:w="2410" w:type="dxa"/>
            <w:shd w:val="clear" w:color="auto" w:fill="auto"/>
          </w:tcPr>
          <w:p w:rsidR="008E480E" w:rsidRPr="007C7B77" w:rsidRDefault="008E480E" w:rsidP="005271F2">
            <w:r w:rsidRPr="007C7B77">
              <w:t>Tvivlspørgsmål mellem to operatø</w:t>
            </w:r>
            <w:r>
              <w:t>r</w:t>
            </w:r>
            <w:r w:rsidRPr="007C7B77">
              <w:t>er –</w:t>
            </w:r>
            <w:r>
              <w:t xml:space="preserve"> OCH A/</w:t>
            </w:r>
            <w:proofErr w:type="spellStart"/>
            <w:r>
              <w:t>S’</w:t>
            </w:r>
            <w:r w:rsidRPr="007C7B77">
              <w:t>s</w:t>
            </w:r>
            <w:proofErr w:type="spellEnd"/>
            <w:r w:rsidRPr="007C7B77">
              <w:t xml:space="preserve"> Rolle</w:t>
            </w:r>
          </w:p>
        </w:tc>
        <w:tc>
          <w:tcPr>
            <w:tcW w:w="5245" w:type="dxa"/>
            <w:shd w:val="clear" w:color="auto" w:fill="auto"/>
          </w:tcPr>
          <w:p w:rsidR="008E480E" w:rsidRDefault="008E480E" w:rsidP="008E480E">
            <w:pPr>
              <w:numPr>
                <w:ilvl w:val="0"/>
                <w:numId w:val="2"/>
              </w:numPr>
              <w:jc w:val="both"/>
            </w:pPr>
            <w:r>
              <w:t xml:space="preserve">OCH A/S kan ikke mægle eller konkludere ved tvivlspørgsmål ang. </w:t>
            </w:r>
            <w:proofErr w:type="spellStart"/>
            <w:r>
              <w:t>Nummerporting</w:t>
            </w:r>
            <w:proofErr w:type="spellEnd"/>
            <w:r>
              <w:t xml:space="preserve"> da NP-regler er reguleret i branchens NP-aftaler.</w:t>
            </w:r>
          </w:p>
          <w:p w:rsidR="008E480E" w:rsidRDefault="008E480E" w:rsidP="008E480E">
            <w:pPr>
              <w:numPr>
                <w:ilvl w:val="0"/>
                <w:numId w:val="2"/>
              </w:numPr>
              <w:jc w:val="both"/>
            </w:pPr>
            <w:r>
              <w:t xml:space="preserve">Aftalen mellem OCH A/S og operatøren omfatter at operatøren forpligter sig til at overholde de til en hver tid gælden regler i </w:t>
            </w:r>
            <w:proofErr w:type="spellStart"/>
            <w:proofErr w:type="gramStart"/>
            <w:r>
              <w:t>Rules&amp;Procedure</w:t>
            </w:r>
            <w:proofErr w:type="spellEnd"/>
            <w:proofErr w:type="gramEnd"/>
            <w:r>
              <w:t xml:space="preserve"> og </w:t>
            </w:r>
            <w:proofErr w:type="spellStart"/>
            <w:r>
              <w:t>Transaktionsdokum</w:t>
            </w:r>
            <w:proofErr w:type="spellEnd"/>
            <w:r>
              <w:t>.</w:t>
            </w:r>
          </w:p>
          <w:p w:rsidR="008E480E" w:rsidRPr="007C7B77" w:rsidRDefault="008E480E" w:rsidP="008E480E">
            <w:pPr>
              <w:numPr>
                <w:ilvl w:val="0"/>
                <w:numId w:val="2"/>
              </w:numPr>
              <w:jc w:val="both"/>
            </w:pPr>
            <w:r>
              <w:t xml:space="preserve">OCH A/S har hjelm til at lukke </w:t>
            </w:r>
            <w:proofErr w:type="gramStart"/>
            <w:r>
              <w:t>for  operatørens</w:t>
            </w:r>
            <w:proofErr w:type="gramEnd"/>
            <w:r>
              <w:t xml:space="preserve"> forbindelse til OCH systemet  såfremt </w:t>
            </w:r>
            <w:proofErr w:type="spellStart"/>
            <w:r>
              <w:t>Rules&amp;Procedure</w:t>
            </w:r>
            <w:proofErr w:type="spellEnd"/>
            <w:r>
              <w:t>/Transaktions-</w:t>
            </w:r>
            <w:proofErr w:type="spellStart"/>
            <w:r>
              <w:t>dokum</w:t>
            </w:r>
            <w:proofErr w:type="spellEnd"/>
            <w:r>
              <w:t xml:space="preserve">. </w:t>
            </w:r>
            <w:proofErr w:type="gramStart"/>
            <w:r>
              <w:t>ikke efterleves.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E480E" w:rsidRDefault="008E480E" w:rsidP="005271F2"/>
          <w:p w:rsidR="008E480E" w:rsidRDefault="008E480E" w:rsidP="005271F2"/>
          <w:p w:rsidR="008E480E" w:rsidRDefault="008E480E" w:rsidP="005271F2"/>
          <w:p w:rsidR="008E480E" w:rsidRDefault="008E480E" w:rsidP="005271F2"/>
          <w:p w:rsidR="008E480E" w:rsidRDefault="008E480E" w:rsidP="005271F2"/>
          <w:p w:rsidR="008E480E" w:rsidRDefault="008E480E" w:rsidP="005271F2"/>
          <w:p w:rsidR="008E480E" w:rsidRDefault="008E480E" w:rsidP="005271F2"/>
          <w:p w:rsidR="008E480E" w:rsidRDefault="008E480E" w:rsidP="005271F2"/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>OCH A/S: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>Brian Zack</w:t>
            </w:r>
          </w:p>
          <w:p w:rsidR="008E480E" w:rsidRPr="00D16CE7" w:rsidRDefault="008E480E" w:rsidP="005271F2">
            <w:pPr>
              <w:rPr>
                <w:lang w:val="en-GB"/>
              </w:rPr>
            </w:pPr>
            <w:r w:rsidRPr="00D16CE7">
              <w:rPr>
                <w:lang w:val="en-GB"/>
              </w:rPr>
              <w:t xml:space="preserve">Mail:  </w:t>
            </w:r>
            <w:hyperlink r:id="rId17" w:history="1">
              <w:r w:rsidRPr="00D16CE7">
                <w:rPr>
                  <w:rStyle w:val="Hyperlink"/>
                  <w:lang w:val="en-GB"/>
                </w:rPr>
                <w:t>bza@telia.dk</w:t>
              </w:r>
            </w:hyperlink>
          </w:p>
          <w:p w:rsidR="008E480E" w:rsidRPr="007C7B77" w:rsidRDefault="008E480E" w:rsidP="005271F2">
            <w:proofErr w:type="spellStart"/>
            <w:r w:rsidRPr="00D16CE7">
              <w:rPr>
                <w:lang w:val="en-GB"/>
              </w:rPr>
              <w:t>Tlf</w:t>
            </w:r>
            <w:proofErr w:type="spellEnd"/>
            <w:r w:rsidRPr="00D16CE7">
              <w:rPr>
                <w:lang w:val="en-GB"/>
              </w:rPr>
              <w:t>.:   +45 28275509</w:t>
            </w:r>
          </w:p>
        </w:tc>
      </w:tr>
    </w:tbl>
    <w:p w:rsidR="00F56AF2" w:rsidRDefault="00F56AF2"/>
    <w:sectPr w:rsidR="00F5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EAE"/>
    <w:multiLevelType w:val="hybridMultilevel"/>
    <w:tmpl w:val="885A89A6"/>
    <w:lvl w:ilvl="0" w:tplc="079087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56968"/>
    <w:multiLevelType w:val="hybridMultilevel"/>
    <w:tmpl w:val="F4BA2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B6D"/>
    <w:multiLevelType w:val="hybridMultilevel"/>
    <w:tmpl w:val="932C9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0E"/>
    <w:rsid w:val="003637E8"/>
    <w:rsid w:val="008E480E"/>
    <w:rsid w:val="00F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indu.dk/t2w_370.asp" TargetMode="External"/><Relationship Id="rId13" Type="http://schemas.openxmlformats.org/officeDocument/2006/relationships/hyperlink" Target="http://www.itst.dk/tele-og-internetregulering/%20nummerforhol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za@telia.dk" TargetMode="External"/><Relationship Id="rId12" Type="http://schemas.openxmlformats.org/officeDocument/2006/relationships/hyperlink" Target="http://www.teleindu.dk/t2w_370.asp" TargetMode="External"/><Relationship Id="rId17" Type="http://schemas.openxmlformats.org/officeDocument/2006/relationships/hyperlink" Target="mailto:bza@telia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mll@telenor.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H.dk" TargetMode="External"/><Relationship Id="rId11" Type="http://schemas.openxmlformats.org/officeDocument/2006/relationships/hyperlink" Target="mailto:mll@telenor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leindu.dk" TargetMode="External"/><Relationship Id="rId10" Type="http://schemas.openxmlformats.org/officeDocument/2006/relationships/hyperlink" Target="http://www.itst.dk/tele-og-internetregulering/%20nummerforhol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CH.dk" TargetMode="External"/><Relationship Id="rId14" Type="http://schemas.openxmlformats.org/officeDocument/2006/relationships/hyperlink" Target="http://www.OCH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8089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Zack</dc:creator>
  <cp:lastModifiedBy>TeliaSonera</cp:lastModifiedBy>
  <cp:revision>2</cp:revision>
  <dcterms:created xsi:type="dcterms:W3CDTF">2015-03-26T13:14:00Z</dcterms:created>
  <dcterms:modified xsi:type="dcterms:W3CDTF">2015-03-26T13:14:00Z</dcterms:modified>
</cp:coreProperties>
</file>